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9A" w:rsidRPr="00086934" w:rsidRDefault="003E3CD6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t>2</w:t>
      </w:r>
      <w:r w:rsidR="00716242" w:rsidRPr="00086934">
        <w:rPr>
          <w:rFonts w:ascii="Arial" w:hAnsi="Arial" w:cs="Arial"/>
          <w:b/>
          <w:bCs/>
          <w:spacing w:val="26"/>
          <w:sz w:val="32"/>
          <w:szCs w:val="32"/>
        </w:rPr>
        <w:t>7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 w:rsidR="00716242" w:rsidRPr="00086934">
        <w:rPr>
          <w:rFonts w:ascii="Arial" w:hAnsi="Arial" w:cs="Arial"/>
          <w:b/>
          <w:bCs/>
          <w:spacing w:val="26"/>
          <w:sz w:val="32"/>
          <w:szCs w:val="32"/>
        </w:rPr>
        <w:t>03</w:t>
      </w:r>
      <w:r w:rsidR="00716242">
        <w:rPr>
          <w:rFonts w:ascii="Arial" w:hAnsi="Arial" w:cs="Arial"/>
          <w:b/>
          <w:bCs/>
          <w:spacing w:val="26"/>
          <w:sz w:val="32"/>
          <w:szCs w:val="32"/>
        </w:rPr>
        <w:t>.20</w:t>
      </w:r>
      <w:r w:rsidR="00716242" w:rsidRPr="00086934">
        <w:rPr>
          <w:rFonts w:ascii="Arial" w:hAnsi="Arial" w:cs="Arial"/>
          <w:b/>
          <w:bCs/>
          <w:spacing w:val="26"/>
          <w:sz w:val="32"/>
          <w:szCs w:val="32"/>
        </w:rPr>
        <w:t>20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>
        <w:rPr>
          <w:rFonts w:ascii="Arial" w:hAnsi="Arial" w:cs="Arial"/>
          <w:b/>
          <w:bCs/>
          <w:spacing w:val="26"/>
          <w:sz w:val="32"/>
          <w:szCs w:val="32"/>
        </w:rPr>
        <w:t>1</w:t>
      </w:r>
      <w:r w:rsidR="00716242" w:rsidRPr="00086934">
        <w:rPr>
          <w:rFonts w:ascii="Arial" w:hAnsi="Arial" w:cs="Arial"/>
          <w:b/>
          <w:bCs/>
          <w:spacing w:val="26"/>
          <w:sz w:val="32"/>
          <w:szCs w:val="32"/>
        </w:rPr>
        <w:t>38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DA5119" w:rsidRPr="001147EE" w:rsidRDefault="00113F2C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bookmarkEnd w:id="0"/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9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1147EE" w:rsidRDefault="00E12341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>утвержденную решением Думы от 29.12.2017 г. № 16</w:t>
      </w:r>
      <w:r w:rsidR="00043713">
        <w:rPr>
          <w:rFonts w:ascii="Arial" w:hAnsi="Arial" w:cs="Arial"/>
        </w:rPr>
        <w:t xml:space="preserve"> (далее программа) следующие изменения:</w:t>
      </w:r>
    </w:p>
    <w:p w:rsidR="00043713" w:rsidRDefault="000A320B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>. Контроль за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652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5"/>
        <w:gridCol w:w="1560"/>
        <w:gridCol w:w="1418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235214" w:rsidTr="00216C3A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216C3A" w:rsidRPr="00235214" w:rsidTr="00216C3A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ачало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кончание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216C3A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71624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</w:t>
            </w:r>
            <w:r w:rsidR="00216C3A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водонапорных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удовлетворение потребностей населения в питьевой воде;</w:t>
            </w:r>
          </w:p>
          <w:p w:rsidR="00216C3A" w:rsidRPr="00235214" w:rsidRDefault="00216C3A" w:rsidP="00AF4E4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и предотвращение загряз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нения водных объектов за счет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 водоохранных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49762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3E3CD6" w:rsidRDefault="00214B09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39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3E3CD6" w:rsidRDefault="003E3CD6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39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86060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44E68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3E3CD6" w:rsidRDefault="0049762B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16C3A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Электроэнергию</w:t>
            </w:r>
            <w:r w:rsidR="007162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водонапорных 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9762B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D44E68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861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D44E68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861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49762B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 -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Строительство, ремонт и чистка колодцев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9762B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по договорам за обслуживание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охрану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9762B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Санитарное заключение проб воды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9762B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9762B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содержание водонапорных 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11C0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Сбор и вывоз ТБО</w:t>
            </w:r>
            <w:r w:rsidR="0049762B">
              <w:rPr>
                <w:rFonts w:ascii="Courier New" w:hAnsi="Courier New" w:cs="Courier New"/>
                <w:b/>
                <w:sz w:val="22"/>
                <w:szCs w:val="22"/>
              </w:rPr>
              <w:t xml:space="preserve"> и прочие мероприятия по благоустройству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B3018">
              <w:rPr>
                <w:rFonts w:ascii="Courier New" w:hAnsi="Courier New" w:cs="Courier New"/>
                <w:sz w:val="22"/>
                <w:szCs w:val="22"/>
              </w:rPr>
              <w:t>Уборка общественных мест от мусора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4232A1" w:rsidRPr="00235214" w:rsidRDefault="004232A1" w:rsidP="0062716E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-улучшение 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гигиены окружающей среды;</w:t>
            </w:r>
          </w:p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-создание комфортных условий </w:t>
            </w: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214B09" w:rsidP="003E3C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3CD6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1ED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B26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49762B" w:rsidRDefault="0049762B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86934">
              <w:rPr>
                <w:rFonts w:ascii="Courier New" w:hAnsi="Courier New" w:cs="Courier New"/>
                <w:sz w:val="22"/>
                <w:szCs w:val="22"/>
              </w:rPr>
              <w:t>Утилизация лампочек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762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08693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4232A1" w:rsidRPr="00EB652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08693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232A1" w:rsidRPr="00EB652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08693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4232A1" w:rsidRPr="00EB652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086934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Экспертиза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документации по благоустройству общественных территорий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230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A0701" w:rsidRPr="00235214" w:rsidTr="00A2300F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Обследование жилых помещений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701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кв. </w:t>
            </w:r>
            <w:r w:rsidR="009968E6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C94F58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A2300F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Default="004A0701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701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0701" w:rsidRPr="00235214" w:rsidRDefault="00C94F58" w:rsidP="00A2300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94F5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Оплата по договорам за приобретение и установку светодиодных светильников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создание экономических и организационных условий для эффективного использования энергоресурсов на территории Атагайского</w:t>
            </w:r>
            <w:r w:rsidRPr="00235214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-сокращение расходов бюджета на оплату коммунальных услуг муниципальных бюджетных учреждений;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 кв. </w:t>
            </w:r>
            <w:r w:rsidR="009968E6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A2300F" w:rsidRDefault="00A2300F" w:rsidP="00A2300F">
            <w:pPr>
              <w:pStyle w:val="a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  <w:lang w:val="en-US"/>
              </w:rPr>
              <w:t>9</w:t>
            </w:r>
            <w:r w:rsidR="004232A1" w:rsidRPr="0023521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A2300F" w:rsidRDefault="00A2300F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75478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3E3CD6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02EE1" w:rsidRPr="00235214" w:rsidTr="00A2300F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EE1" w:rsidRPr="00235214" w:rsidRDefault="00A02EE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Использование </w:t>
            </w: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 охрана земель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Организация использования  и охраны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повышение эффективности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использования и охраны </w:t>
            </w:r>
            <w:hyperlink r:id="rId10" w:anchor="YANDEX_51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1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2" w:anchor="YANDEX_52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использования</w:t>
            </w:r>
            <w:hyperlink r:id="rId13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4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hyperlink r:id="rId15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6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охраны</w:t>
            </w:r>
            <w:hyperlink r:id="rId17" w:anchor="YANDEX_56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8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9" w:anchor="YANDEX_57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- сохранение и восстановление зеленых насаждений</w:t>
            </w:r>
          </w:p>
          <w:p w:rsidR="00A02EE1" w:rsidRPr="00235214" w:rsidRDefault="00A02EE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2020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77" w:type="dxa"/>
            <w:gridSpan w:val="16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</w:tbl>
    <w:p w:rsidR="00970A12" w:rsidRDefault="0059738A" w:rsidP="00E4383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59738A">
        <w:rPr>
          <w:rFonts w:ascii="Arial" w:hAnsi="Arial" w:cs="Arial"/>
          <w:spacing w:val="-1"/>
        </w:rPr>
        <w:softHyphen/>
      </w:r>
      <w:r w:rsidRPr="0059738A">
        <w:rPr>
          <w:rFonts w:ascii="Arial" w:hAnsi="Arial" w:cs="Arial"/>
        </w:rPr>
        <w:t xml:space="preserve">тия по модернизации объектов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Pr="0059738A">
        <w:rPr>
          <w:rFonts w:ascii="Arial" w:hAnsi="Arial" w:cs="Arial"/>
        </w:rPr>
        <w:t>Атагайского  город</w:t>
      </w:r>
      <w:r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4A0701">
        <w:rPr>
          <w:rFonts w:ascii="Arial" w:hAnsi="Arial" w:cs="Arial"/>
        </w:rPr>
        <w:t>9</w:t>
      </w:r>
      <w:r w:rsidR="00A2300F" w:rsidRPr="00A2300F">
        <w:rPr>
          <w:rFonts w:ascii="Arial" w:hAnsi="Arial" w:cs="Arial"/>
        </w:rPr>
        <w:t>123</w:t>
      </w:r>
      <w:r w:rsidR="00EB652E">
        <w:rPr>
          <w:rFonts w:ascii="Arial" w:hAnsi="Arial" w:cs="Arial"/>
        </w:rPr>
        <w:t>,</w:t>
      </w:r>
      <w:r w:rsidR="00A2300F" w:rsidRPr="00A2300F">
        <w:rPr>
          <w:rFonts w:ascii="Arial" w:hAnsi="Arial" w:cs="Arial"/>
        </w:rPr>
        <w:t>4</w:t>
      </w:r>
      <w:r w:rsidR="00D44E68">
        <w:rPr>
          <w:rFonts w:ascii="Arial" w:hAnsi="Arial" w:cs="Arial"/>
        </w:rPr>
        <w:t>5</w:t>
      </w:r>
      <w:r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>
        <w:rPr>
          <w:rFonts w:ascii="Arial" w:hAnsi="Arial" w:cs="Arial"/>
        </w:rPr>
        <w:t>коммунальной</w:t>
      </w:r>
      <w:r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>
        <w:rPr>
          <w:rFonts w:ascii="Arial" w:hAnsi="Arial" w:cs="Arial"/>
        </w:rPr>
        <w:t>х вложениях распределены на 2018</w:t>
      </w:r>
      <w:r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0E6D50" w:rsidP="0059738A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340945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614</w:t>
            </w:r>
            <w:r w:rsidR="009E4229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8A784B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1128,21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A2300F" w:rsidRDefault="00A2300F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53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A2300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628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A2300F" w:rsidRDefault="0008693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A2300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4A070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230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14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A2300F" w:rsidRDefault="00A2300F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A2300F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9E4229" w:rsidRDefault="009E4229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224A79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86934" w:rsidRDefault="00086934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86934" w:rsidRDefault="00086934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86934" w:rsidRDefault="00086934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A2300F" w:rsidP="005D16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4628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D1672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CB3289" w:rsidP="00BB6A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786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4A0701" w:rsidP="0034094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B6A1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4A0701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BB6A13" w:rsidP="00BB6A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BB6A13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BB6A13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>доходы населения на уровне средних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E246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18" w:rsidRDefault="00286618" w:rsidP="00075705">
      <w:r>
        <w:separator/>
      </w:r>
    </w:p>
  </w:endnote>
  <w:endnote w:type="continuationSeparator" w:id="0">
    <w:p w:rsidR="00286618" w:rsidRDefault="00286618" w:rsidP="000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18" w:rsidRDefault="00286618" w:rsidP="00075705">
      <w:r>
        <w:separator/>
      </w:r>
    </w:p>
  </w:footnote>
  <w:footnote w:type="continuationSeparator" w:id="0">
    <w:p w:rsidR="00286618" w:rsidRDefault="00286618" w:rsidP="000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 w15:restartNumberingAfterBreak="0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 w15:restartNumberingAfterBreak="0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E4"/>
    <w:rsid w:val="000005C9"/>
    <w:rsid w:val="00004AE6"/>
    <w:rsid w:val="00005971"/>
    <w:rsid w:val="00006BAE"/>
    <w:rsid w:val="00007AE5"/>
    <w:rsid w:val="00012226"/>
    <w:rsid w:val="00014059"/>
    <w:rsid w:val="00016EB6"/>
    <w:rsid w:val="000225ED"/>
    <w:rsid w:val="00023603"/>
    <w:rsid w:val="000256CD"/>
    <w:rsid w:val="00031FD7"/>
    <w:rsid w:val="000353E8"/>
    <w:rsid w:val="000359CA"/>
    <w:rsid w:val="00043070"/>
    <w:rsid w:val="00043713"/>
    <w:rsid w:val="00044159"/>
    <w:rsid w:val="00055DD0"/>
    <w:rsid w:val="00057B3B"/>
    <w:rsid w:val="00061F86"/>
    <w:rsid w:val="00075705"/>
    <w:rsid w:val="00076125"/>
    <w:rsid w:val="00086934"/>
    <w:rsid w:val="000907B9"/>
    <w:rsid w:val="00090CEF"/>
    <w:rsid w:val="000A20A8"/>
    <w:rsid w:val="000A320B"/>
    <w:rsid w:val="000A5616"/>
    <w:rsid w:val="000B382A"/>
    <w:rsid w:val="000C4851"/>
    <w:rsid w:val="000C58CD"/>
    <w:rsid w:val="000D61E3"/>
    <w:rsid w:val="000E4E15"/>
    <w:rsid w:val="000E6D50"/>
    <w:rsid w:val="000F2F14"/>
    <w:rsid w:val="000F7757"/>
    <w:rsid w:val="00113F2C"/>
    <w:rsid w:val="001147EE"/>
    <w:rsid w:val="001148E0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0577"/>
    <w:rsid w:val="00187D88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24A79"/>
    <w:rsid w:val="00235214"/>
    <w:rsid w:val="00250F2D"/>
    <w:rsid w:val="002821CC"/>
    <w:rsid w:val="00286618"/>
    <w:rsid w:val="002A11CC"/>
    <w:rsid w:val="002A5029"/>
    <w:rsid w:val="002B268F"/>
    <w:rsid w:val="002B7040"/>
    <w:rsid w:val="002C1C4E"/>
    <w:rsid w:val="002C479D"/>
    <w:rsid w:val="002D33FB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61A5E"/>
    <w:rsid w:val="003641BE"/>
    <w:rsid w:val="00382C22"/>
    <w:rsid w:val="003B68B3"/>
    <w:rsid w:val="003C7CC5"/>
    <w:rsid w:val="003E10C5"/>
    <w:rsid w:val="003E3CD6"/>
    <w:rsid w:val="003E7AB9"/>
    <w:rsid w:val="003F712C"/>
    <w:rsid w:val="00400089"/>
    <w:rsid w:val="00404676"/>
    <w:rsid w:val="00412596"/>
    <w:rsid w:val="00413AFE"/>
    <w:rsid w:val="00415092"/>
    <w:rsid w:val="00422C96"/>
    <w:rsid w:val="004232A1"/>
    <w:rsid w:val="00443ADC"/>
    <w:rsid w:val="0045042D"/>
    <w:rsid w:val="00455783"/>
    <w:rsid w:val="004558A6"/>
    <w:rsid w:val="00467240"/>
    <w:rsid w:val="00475478"/>
    <w:rsid w:val="004768A2"/>
    <w:rsid w:val="0048392A"/>
    <w:rsid w:val="00485541"/>
    <w:rsid w:val="00491F1F"/>
    <w:rsid w:val="0049762B"/>
    <w:rsid w:val="004A0701"/>
    <w:rsid w:val="004A70A9"/>
    <w:rsid w:val="004B0F56"/>
    <w:rsid w:val="004C0EEC"/>
    <w:rsid w:val="004C70E5"/>
    <w:rsid w:val="004D62D6"/>
    <w:rsid w:val="004E0A1B"/>
    <w:rsid w:val="004E7A9A"/>
    <w:rsid w:val="004F1045"/>
    <w:rsid w:val="004F1EBB"/>
    <w:rsid w:val="004F5D89"/>
    <w:rsid w:val="004F7DFF"/>
    <w:rsid w:val="00502963"/>
    <w:rsid w:val="005044E1"/>
    <w:rsid w:val="00507196"/>
    <w:rsid w:val="00540EB9"/>
    <w:rsid w:val="00543015"/>
    <w:rsid w:val="005438F4"/>
    <w:rsid w:val="00551BF9"/>
    <w:rsid w:val="00553386"/>
    <w:rsid w:val="0056780D"/>
    <w:rsid w:val="005716BF"/>
    <w:rsid w:val="00571985"/>
    <w:rsid w:val="00576C7B"/>
    <w:rsid w:val="00577333"/>
    <w:rsid w:val="00577969"/>
    <w:rsid w:val="00582CC4"/>
    <w:rsid w:val="005920F9"/>
    <w:rsid w:val="0059738A"/>
    <w:rsid w:val="005A5CD0"/>
    <w:rsid w:val="005A5D7B"/>
    <w:rsid w:val="005A7B91"/>
    <w:rsid w:val="005C5958"/>
    <w:rsid w:val="005D1672"/>
    <w:rsid w:val="005E0561"/>
    <w:rsid w:val="005E2462"/>
    <w:rsid w:val="005E4A8D"/>
    <w:rsid w:val="005E56B3"/>
    <w:rsid w:val="005F1E8F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4A9B"/>
    <w:rsid w:val="00655E3E"/>
    <w:rsid w:val="0066194C"/>
    <w:rsid w:val="006672E0"/>
    <w:rsid w:val="00670A1B"/>
    <w:rsid w:val="00672056"/>
    <w:rsid w:val="00673B47"/>
    <w:rsid w:val="00684378"/>
    <w:rsid w:val="0068484D"/>
    <w:rsid w:val="00694BFE"/>
    <w:rsid w:val="006A4B98"/>
    <w:rsid w:val="006A4BE1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E0930"/>
    <w:rsid w:val="006F0A0D"/>
    <w:rsid w:val="006F2331"/>
    <w:rsid w:val="006F2FD7"/>
    <w:rsid w:val="006F6531"/>
    <w:rsid w:val="00701EA1"/>
    <w:rsid w:val="00702354"/>
    <w:rsid w:val="00703AD0"/>
    <w:rsid w:val="00716242"/>
    <w:rsid w:val="00716558"/>
    <w:rsid w:val="00737D94"/>
    <w:rsid w:val="00765203"/>
    <w:rsid w:val="0076575E"/>
    <w:rsid w:val="007709E5"/>
    <w:rsid w:val="00785ADE"/>
    <w:rsid w:val="007D5A1E"/>
    <w:rsid w:val="007E3A25"/>
    <w:rsid w:val="007F0EEF"/>
    <w:rsid w:val="008008C4"/>
    <w:rsid w:val="00801182"/>
    <w:rsid w:val="00804585"/>
    <w:rsid w:val="00810D40"/>
    <w:rsid w:val="00847C90"/>
    <w:rsid w:val="00860601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A0A43"/>
    <w:rsid w:val="008A784B"/>
    <w:rsid w:val="008B238E"/>
    <w:rsid w:val="008D0F16"/>
    <w:rsid w:val="008D1A3B"/>
    <w:rsid w:val="008E6053"/>
    <w:rsid w:val="008E6543"/>
    <w:rsid w:val="008E6CA1"/>
    <w:rsid w:val="008F1B51"/>
    <w:rsid w:val="0091639F"/>
    <w:rsid w:val="00925715"/>
    <w:rsid w:val="00926408"/>
    <w:rsid w:val="00927F9B"/>
    <w:rsid w:val="00947C5C"/>
    <w:rsid w:val="00970A12"/>
    <w:rsid w:val="00971119"/>
    <w:rsid w:val="00983E30"/>
    <w:rsid w:val="00990568"/>
    <w:rsid w:val="009968E6"/>
    <w:rsid w:val="009A258C"/>
    <w:rsid w:val="009C4568"/>
    <w:rsid w:val="009C4CCB"/>
    <w:rsid w:val="009E4229"/>
    <w:rsid w:val="009F0F1F"/>
    <w:rsid w:val="00A02EE1"/>
    <w:rsid w:val="00A07820"/>
    <w:rsid w:val="00A108C4"/>
    <w:rsid w:val="00A145BC"/>
    <w:rsid w:val="00A20A98"/>
    <w:rsid w:val="00A2300F"/>
    <w:rsid w:val="00A25215"/>
    <w:rsid w:val="00A258E8"/>
    <w:rsid w:val="00A323D7"/>
    <w:rsid w:val="00A6060F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4E4B"/>
    <w:rsid w:val="00B0260E"/>
    <w:rsid w:val="00B056AD"/>
    <w:rsid w:val="00B10762"/>
    <w:rsid w:val="00B11762"/>
    <w:rsid w:val="00B21EB3"/>
    <w:rsid w:val="00B35506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91726"/>
    <w:rsid w:val="00B92878"/>
    <w:rsid w:val="00B9553C"/>
    <w:rsid w:val="00B9667B"/>
    <w:rsid w:val="00BA46CC"/>
    <w:rsid w:val="00BA4E2F"/>
    <w:rsid w:val="00BA6F5A"/>
    <w:rsid w:val="00BB3018"/>
    <w:rsid w:val="00BB4746"/>
    <w:rsid w:val="00BB6A13"/>
    <w:rsid w:val="00BB779B"/>
    <w:rsid w:val="00BB7B44"/>
    <w:rsid w:val="00BC388A"/>
    <w:rsid w:val="00BC7738"/>
    <w:rsid w:val="00BD2727"/>
    <w:rsid w:val="00BE7EC9"/>
    <w:rsid w:val="00BF6FBC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39DA"/>
    <w:rsid w:val="00C85F23"/>
    <w:rsid w:val="00C94F58"/>
    <w:rsid w:val="00C96E40"/>
    <w:rsid w:val="00CA6F08"/>
    <w:rsid w:val="00CB3289"/>
    <w:rsid w:val="00CB3B68"/>
    <w:rsid w:val="00CB65BD"/>
    <w:rsid w:val="00CC43F5"/>
    <w:rsid w:val="00CD3292"/>
    <w:rsid w:val="00CD44FC"/>
    <w:rsid w:val="00CD491E"/>
    <w:rsid w:val="00CD650C"/>
    <w:rsid w:val="00CF7DD0"/>
    <w:rsid w:val="00D06D8B"/>
    <w:rsid w:val="00D11C0B"/>
    <w:rsid w:val="00D12386"/>
    <w:rsid w:val="00D13850"/>
    <w:rsid w:val="00D14EE9"/>
    <w:rsid w:val="00D32161"/>
    <w:rsid w:val="00D340A7"/>
    <w:rsid w:val="00D43A77"/>
    <w:rsid w:val="00D44E68"/>
    <w:rsid w:val="00D46917"/>
    <w:rsid w:val="00D50344"/>
    <w:rsid w:val="00D56C93"/>
    <w:rsid w:val="00D6627C"/>
    <w:rsid w:val="00D667D8"/>
    <w:rsid w:val="00D67B4A"/>
    <w:rsid w:val="00D701F1"/>
    <w:rsid w:val="00D715F0"/>
    <w:rsid w:val="00D74376"/>
    <w:rsid w:val="00D7447F"/>
    <w:rsid w:val="00D777E8"/>
    <w:rsid w:val="00D85257"/>
    <w:rsid w:val="00D97710"/>
    <w:rsid w:val="00DA5119"/>
    <w:rsid w:val="00DA6504"/>
    <w:rsid w:val="00DC519F"/>
    <w:rsid w:val="00DD406E"/>
    <w:rsid w:val="00DD6A60"/>
    <w:rsid w:val="00DE2219"/>
    <w:rsid w:val="00DE40CF"/>
    <w:rsid w:val="00DE5DA1"/>
    <w:rsid w:val="00DF6816"/>
    <w:rsid w:val="00E03EF4"/>
    <w:rsid w:val="00E04C08"/>
    <w:rsid w:val="00E04CB5"/>
    <w:rsid w:val="00E05081"/>
    <w:rsid w:val="00E05931"/>
    <w:rsid w:val="00E12341"/>
    <w:rsid w:val="00E2183F"/>
    <w:rsid w:val="00E23688"/>
    <w:rsid w:val="00E30FBB"/>
    <w:rsid w:val="00E3131E"/>
    <w:rsid w:val="00E321C3"/>
    <w:rsid w:val="00E41770"/>
    <w:rsid w:val="00E4383A"/>
    <w:rsid w:val="00E4525F"/>
    <w:rsid w:val="00E52277"/>
    <w:rsid w:val="00E53DBC"/>
    <w:rsid w:val="00E608E0"/>
    <w:rsid w:val="00E801A1"/>
    <w:rsid w:val="00EA231A"/>
    <w:rsid w:val="00EA4387"/>
    <w:rsid w:val="00EA5A3A"/>
    <w:rsid w:val="00EB652E"/>
    <w:rsid w:val="00EB6666"/>
    <w:rsid w:val="00EC7A6B"/>
    <w:rsid w:val="00ED23DF"/>
    <w:rsid w:val="00EF7D7F"/>
    <w:rsid w:val="00F00687"/>
    <w:rsid w:val="00F01B8D"/>
    <w:rsid w:val="00F03CF6"/>
    <w:rsid w:val="00F15FD7"/>
    <w:rsid w:val="00F17870"/>
    <w:rsid w:val="00F25578"/>
    <w:rsid w:val="00F371B0"/>
    <w:rsid w:val="00F467AD"/>
    <w:rsid w:val="00F51CF1"/>
    <w:rsid w:val="00F6402B"/>
    <w:rsid w:val="00F7696A"/>
    <w:rsid w:val="00F85A87"/>
    <w:rsid w:val="00F85C13"/>
    <w:rsid w:val="00F947CB"/>
    <w:rsid w:val="00F94876"/>
    <w:rsid w:val="00FA5849"/>
    <w:rsid w:val="00FB23DC"/>
    <w:rsid w:val="00FB6A01"/>
    <w:rsid w:val="00FC5FA9"/>
    <w:rsid w:val="00FD56F5"/>
    <w:rsid w:val="00FD7B50"/>
    <w:rsid w:val="00FE0238"/>
    <w:rsid w:val="00FE2490"/>
    <w:rsid w:val="00FE46F4"/>
    <w:rsid w:val="00FE6E8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7BFB2-565F-40CD-847B-5F8FAB79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4AACDDA459BA63DDD4339541C7A5F87EEBC2D2C3A82A48CC02EAF3E1B6B77DD904I5r7H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5F2C-D743-4D73-BAFF-8F3CF67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2020-04-29T07:42:00Z</cp:lastPrinted>
  <dcterms:created xsi:type="dcterms:W3CDTF">2020-06-29T01:52:00Z</dcterms:created>
  <dcterms:modified xsi:type="dcterms:W3CDTF">2020-06-29T01:52:00Z</dcterms:modified>
</cp:coreProperties>
</file>